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5A" w:rsidRPr="0001115A" w:rsidRDefault="0001115A" w:rsidP="0001115A">
      <w:pPr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bookmarkStart w:id="0" w:name="_GoBack"/>
      <w:bookmarkEnd w:id="0"/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Особливості</w:t>
      </w:r>
      <w:proofErr w:type="spellEnd"/>
      <w:r w:rsidRPr="0001115A">
        <w:rPr>
          <w:rFonts w:ascii="Times New Roman" w:hAnsi="Times New Roman" w:cs="Times New Roman"/>
          <w:color w:val="FFC000"/>
          <w:sz w:val="40"/>
          <w:szCs w:val="40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розвитку</w:t>
      </w:r>
      <w:proofErr w:type="spellEnd"/>
      <w:r w:rsidRPr="0001115A">
        <w:rPr>
          <w:rFonts w:ascii="Times New Roman" w:hAnsi="Times New Roman" w:cs="Times New Roman"/>
          <w:color w:val="FFC000"/>
          <w:sz w:val="40"/>
          <w:szCs w:val="40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емоційної</w:t>
      </w:r>
      <w:proofErr w:type="spellEnd"/>
      <w:r w:rsidRPr="0001115A">
        <w:rPr>
          <w:rFonts w:ascii="Times New Roman" w:hAnsi="Times New Roman" w:cs="Times New Roman"/>
          <w:color w:val="FFC000"/>
          <w:sz w:val="40"/>
          <w:szCs w:val="40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сфери</w:t>
      </w:r>
      <w:proofErr w:type="spellEnd"/>
      <w:r w:rsidRPr="0001115A">
        <w:rPr>
          <w:rFonts w:ascii="Times New Roman" w:hAnsi="Times New Roman" w:cs="Times New Roman"/>
          <w:color w:val="FFC000"/>
          <w:sz w:val="40"/>
          <w:szCs w:val="40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дітей</w:t>
      </w:r>
      <w:proofErr w:type="spellEnd"/>
      <w:r w:rsidRPr="0001115A">
        <w:rPr>
          <w:rFonts w:ascii="Times New Roman" w:hAnsi="Times New Roman" w:cs="Times New Roman"/>
          <w:color w:val="FFC000"/>
          <w:sz w:val="40"/>
          <w:szCs w:val="40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FFC000"/>
          <w:sz w:val="40"/>
          <w:szCs w:val="40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FFC000"/>
          <w:sz w:val="40"/>
          <w:szCs w:val="40"/>
        </w:rPr>
        <w:t>віку</w:t>
      </w:r>
      <w:proofErr w:type="spellEnd"/>
    </w:p>
    <w:p w:rsidR="00097A30" w:rsidRDefault="0001115A">
      <w:r>
        <w:rPr>
          <w:noProof/>
          <w:lang w:eastAsia="ru-RU"/>
        </w:rPr>
        <w:drawing>
          <wp:inline distT="0" distB="0" distL="0" distR="0" wp14:anchorId="3D850F22" wp14:editId="0315A236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Нестійкість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змінюють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свій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настрій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емоційний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пов'язано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нестійкістю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нервової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раптово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перейти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радості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смутку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зацікавленості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огиди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Егоцентризм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віддають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перевагу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власним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емоціям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потребам,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іноді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нездатні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сприймати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 Вони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розуміють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їхні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вчинки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вплинути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Неадекватна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реакція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стресові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вразливі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стресу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як не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керувати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емоціями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таких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випадках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довго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затримувати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навпаки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проявляти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агресію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починають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усвідомлювати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вдячність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сприяють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емпатії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Збагачення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словника.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засвоюють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нові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терміни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пов'язані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емоційною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сферою,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допомагає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їм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описувати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власні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сприймати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самосвідомості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поступово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навчаються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розуміти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вплив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їхню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поведінку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самосвідомості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самоконтролю.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Залучення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ігрової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Ігрова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основним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засобом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емоційної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сфери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Гра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допомагає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дитині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власний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емоційний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досвід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навички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людьми.</w:t>
      </w:r>
    </w:p>
    <w:p w:rsidR="0001115A" w:rsidRPr="0001115A" w:rsidRDefault="0001115A" w:rsidP="000111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Потреба у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стійкій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підтримці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дорослих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потребують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підтримки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співпереживання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боку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дорослих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формуванню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позитивного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клімату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сім'ї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виховних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закладах,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важливе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емоційного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011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5A" w:rsidRPr="0001115A" w:rsidRDefault="0001115A" w:rsidP="0001115A">
      <w:pPr>
        <w:pStyle w:val="a5"/>
        <w:jc w:val="center"/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</w:pPr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  <w:lang w:val="uk-UA"/>
        </w:rPr>
        <w:t>К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ілька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рекомендацій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щодо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розвитку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емоцій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 xml:space="preserve"> у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дошкільників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color w:val="FFC000"/>
          <w:sz w:val="40"/>
          <w:szCs w:val="40"/>
        </w:rPr>
        <w:t>: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Навчайте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дітей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розпізнавати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Розпізнавання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власних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чужих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є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ключовим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елементом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емоційного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розвитку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дітей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Вчіть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дітей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визначати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оточуючих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використовуючи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відповідні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слова.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Підтримуйте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позитивне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середовище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Створіть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позитивне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підтримуюче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середовище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де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можуть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вільно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висловлювати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думки без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обмежень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страху.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Використовуйте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ігри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вправи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що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сприяють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розвитку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Використовуйте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різні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ігри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вправи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що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допоможуть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дітям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розвивати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емоційну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грамотність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сприятимуть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розвитку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емпатії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Забезпечуйте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можливості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виражати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: Дайте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дітям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можливість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виражати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вільно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без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обмежень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наприклад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через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малювання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розмову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танці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тощо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Вчіть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дітей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розуміти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контролювати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їх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Навчайте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дітей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розуміти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що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викликає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їхні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як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контролювати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їх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Допоможіть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дітям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навчитися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виражати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позитивним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способом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знаходити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способи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релаксації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коли вони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почувають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себе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стресово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Розвивайте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навички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соціальної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взаємодії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Розвивайте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навички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соціальної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взаємодії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емпатії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Допоможіть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дітям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навчитися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розуміти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почуття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інших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людей,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сприя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ти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розвитку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здатності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до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співпереживання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допомогти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дітям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знаходити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шляхи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допомоги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іншим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людям, коли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відчувають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стрес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1115A" w:rsidRPr="0001115A" w:rsidRDefault="0001115A" w:rsidP="0001115A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Будьте прикладом: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Навчайте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дітей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емоційній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грамотності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не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тільки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словами, а й прикладом.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Показуйте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дітям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як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виражаєте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свої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емоції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як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розв'язуєте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конфлікти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та як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займаєтеся</w:t>
      </w:r>
      <w:proofErr w:type="spellEnd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1115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саморегуляцією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01115A" w:rsidRPr="0001115A" w:rsidRDefault="0001115A">
      <w:pPr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sectPr w:rsidR="0001115A" w:rsidRPr="0001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3681"/>
      </v:shape>
    </w:pict>
  </w:numPicBullet>
  <w:abstractNum w:abstractNumId="0">
    <w:nsid w:val="054F52D8"/>
    <w:multiLevelType w:val="hybridMultilevel"/>
    <w:tmpl w:val="EAF8B99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060E"/>
    <w:multiLevelType w:val="multilevel"/>
    <w:tmpl w:val="EDDA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943C7"/>
    <w:multiLevelType w:val="multilevel"/>
    <w:tmpl w:val="D6563F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E535F"/>
    <w:multiLevelType w:val="hybridMultilevel"/>
    <w:tmpl w:val="692C191E"/>
    <w:lvl w:ilvl="0" w:tplc="161C70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C6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45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C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E3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F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A1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5543B"/>
    <w:multiLevelType w:val="hybridMultilevel"/>
    <w:tmpl w:val="64DCA658"/>
    <w:lvl w:ilvl="0" w:tplc="0DF4A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A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8D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E4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6E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4F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E5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0E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C2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6B"/>
    <w:rsid w:val="0001115A"/>
    <w:rsid w:val="00064C6B"/>
    <w:rsid w:val="00097A30"/>
    <w:rsid w:val="00F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115A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0111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15A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F4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115A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0111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15A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F4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Лавриненко</dc:creator>
  <cp:lastModifiedBy>User</cp:lastModifiedBy>
  <cp:revision>2</cp:revision>
  <dcterms:created xsi:type="dcterms:W3CDTF">2023-03-22T19:51:00Z</dcterms:created>
  <dcterms:modified xsi:type="dcterms:W3CDTF">2023-03-22T19:51:00Z</dcterms:modified>
</cp:coreProperties>
</file>